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49302E" w14:paraId="30920A1D" w14:textId="77777777" w:rsidTr="2D97F936">
        <w:trPr>
          <w:trHeight w:val="3428"/>
        </w:trPr>
        <w:tc>
          <w:tcPr>
            <w:tcW w:w="2684" w:type="dxa"/>
            <w:shd w:val="clear" w:color="auto" w:fill="FFEFFF"/>
          </w:tcPr>
          <w:p w14:paraId="78D908C9" w14:textId="363D5039" w:rsidR="008E39B4" w:rsidRPr="0049302E" w:rsidRDefault="008E39B4" w:rsidP="0007415F">
            <w:pPr>
              <w:rPr>
                <w:rFonts w:cstheme="minorHAnsi"/>
                <w:b/>
                <w:bCs/>
                <w:color w:val="522A5B"/>
                <w:sz w:val="24"/>
                <w:szCs w:val="24"/>
                <w:u w:val="single"/>
              </w:rPr>
            </w:pPr>
            <w:r w:rsidRPr="0049302E">
              <w:rPr>
                <w:rFonts w:cstheme="minorHAnsi"/>
                <w:b/>
                <w:bCs/>
                <w:color w:val="522A5B"/>
                <w:sz w:val="24"/>
                <w:szCs w:val="24"/>
                <w:u w:val="single"/>
              </w:rPr>
              <w:t>What will we be learning?</w:t>
            </w:r>
          </w:p>
          <w:p w14:paraId="757809B9" w14:textId="74D964CC" w:rsidR="008E39B4" w:rsidRPr="007019E7" w:rsidRDefault="007019E7" w:rsidP="007019E7">
            <w:pPr>
              <w:autoSpaceDE w:val="0"/>
              <w:autoSpaceDN w:val="0"/>
              <w:adjustRightInd w:val="0"/>
              <w:rPr>
                <w:rFonts w:cstheme="minorHAnsi"/>
                <w:color w:val="000000"/>
              </w:rPr>
            </w:pPr>
            <w:r>
              <w:rPr>
                <w:rFonts w:cstheme="minorHAnsi"/>
                <w:color w:val="000000"/>
              </w:rPr>
              <w:t>In Unit 3, l</w:t>
            </w:r>
            <w:r w:rsidRPr="00F612EB">
              <w:rPr>
                <w:rFonts w:cstheme="minorHAnsi"/>
                <w:color w:val="000000"/>
              </w:rPr>
              <w:t xml:space="preserve">earners study the purpose and importance of </w:t>
            </w:r>
            <w:r>
              <w:rPr>
                <w:rFonts w:cstheme="minorHAnsi"/>
                <w:color w:val="000000"/>
              </w:rPr>
              <w:t>Personal and B</w:t>
            </w:r>
            <w:r w:rsidRPr="00F612EB">
              <w:rPr>
                <w:rFonts w:cstheme="minorHAnsi"/>
                <w:color w:val="000000"/>
              </w:rPr>
              <w:t>usiness</w:t>
            </w:r>
            <w:r>
              <w:rPr>
                <w:rFonts w:cstheme="minorHAnsi"/>
                <w:color w:val="000000"/>
              </w:rPr>
              <w:t xml:space="preserve"> F</w:t>
            </w:r>
            <w:r>
              <w:rPr>
                <w:rFonts w:cstheme="minorHAnsi"/>
                <w:color w:val="000000"/>
              </w:rPr>
              <w:t xml:space="preserve">inance. They will develop the </w:t>
            </w:r>
            <w:r w:rsidRPr="00F612EB">
              <w:rPr>
                <w:rFonts w:cstheme="minorHAnsi"/>
                <w:color w:val="000000"/>
              </w:rPr>
              <w:t>skills and knowledge needed to understand, analyse and prepare financial information.</w:t>
            </w:r>
            <w:r>
              <w:rPr>
                <w:rFonts w:cstheme="minorHAnsi"/>
                <w:color w:val="000000"/>
              </w:rPr>
              <w:t xml:space="preserve"> They will also learn basic numeracy skills, which will help them for may activities later on in life, </w:t>
            </w:r>
            <w:r>
              <w:rPr>
                <w:rFonts w:cstheme="minorHAnsi"/>
                <w:color w:val="000000"/>
              </w:rPr>
              <w:t>either in higher education or in employment</w:t>
            </w:r>
            <w:r>
              <w:rPr>
                <w:rFonts w:cstheme="minorHAnsi"/>
                <w:color w:val="000000"/>
              </w:rPr>
              <w:t xml:space="preserve">. </w:t>
            </w:r>
          </w:p>
        </w:tc>
        <w:tc>
          <w:tcPr>
            <w:tcW w:w="5386" w:type="dxa"/>
            <w:shd w:val="clear" w:color="auto" w:fill="FFEFFF"/>
          </w:tcPr>
          <w:p w14:paraId="191A053B" w14:textId="77777777" w:rsidR="008E39B4" w:rsidRPr="0049302E" w:rsidRDefault="008E39B4" w:rsidP="00FE54CF">
            <w:pPr>
              <w:rPr>
                <w:rFonts w:cstheme="minorHAnsi"/>
                <w:b/>
                <w:bCs/>
                <w:color w:val="522A5B"/>
                <w:sz w:val="24"/>
                <w:szCs w:val="24"/>
                <w:u w:val="single"/>
              </w:rPr>
            </w:pPr>
            <w:r w:rsidRPr="0049302E">
              <w:rPr>
                <w:rFonts w:cstheme="minorHAnsi"/>
                <w:b/>
                <w:bCs/>
                <w:color w:val="522A5B"/>
                <w:sz w:val="24"/>
                <w:szCs w:val="24"/>
                <w:u w:val="single"/>
              </w:rPr>
              <w:t>Why this? Why now?</w:t>
            </w:r>
          </w:p>
          <w:p w14:paraId="30AEB860" w14:textId="579DD86F" w:rsidR="007019E7" w:rsidRDefault="007019E7" w:rsidP="007019E7">
            <w:r>
              <w:t xml:space="preserve"> </w:t>
            </w:r>
            <w:r>
              <w:t>Unit 1 and Unit 3 are taught alongside each other with different teachers.</w:t>
            </w:r>
            <w:r>
              <w:t xml:space="preserve">  </w:t>
            </w:r>
            <w:r>
              <w:t>Unit 3 is taught in the first year because we see it as more accessible in the first year than we do Unit 2. Students are more used to that kind of assessment structure and forma</w:t>
            </w:r>
            <w:r w:rsidR="00675FE5">
              <w:t>t.</w:t>
            </w:r>
          </w:p>
          <w:p w14:paraId="4C75361B" w14:textId="2182A40F" w:rsidR="006A37F1" w:rsidRPr="006A37F1" w:rsidRDefault="006A37F1" w:rsidP="006A37F1">
            <w:pPr>
              <w:spacing w:after="0"/>
            </w:pPr>
          </w:p>
        </w:tc>
        <w:tc>
          <w:tcPr>
            <w:tcW w:w="2268" w:type="dxa"/>
            <w:vMerge w:val="restart"/>
            <w:shd w:val="clear" w:color="auto" w:fill="FFEFFF"/>
          </w:tcPr>
          <w:p w14:paraId="47A991E2" w14:textId="7376B834" w:rsidR="008E39B4" w:rsidRPr="0049302E" w:rsidRDefault="008E39B4" w:rsidP="00FE54CF">
            <w:pPr>
              <w:rPr>
                <w:rFonts w:cstheme="minorHAnsi"/>
                <w:b/>
                <w:bCs/>
                <w:color w:val="522A5B"/>
                <w:sz w:val="24"/>
                <w:szCs w:val="24"/>
                <w:u w:val="single"/>
              </w:rPr>
            </w:pPr>
            <w:r w:rsidRPr="0049302E">
              <w:rPr>
                <w:rFonts w:cstheme="minorHAnsi"/>
                <w:b/>
                <w:bCs/>
                <w:color w:val="522A5B"/>
                <w:sz w:val="24"/>
                <w:szCs w:val="24"/>
                <w:u w:val="single"/>
              </w:rPr>
              <w:t>Key Words</w:t>
            </w:r>
            <w:r w:rsidR="00811F13" w:rsidRPr="0049302E">
              <w:rPr>
                <w:rFonts w:cstheme="minorHAnsi"/>
                <w:b/>
                <w:bCs/>
                <w:color w:val="522A5B"/>
                <w:sz w:val="24"/>
                <w:szCs w:val="24"/>
                <w:u w:val="single"/>
              </w:rPr>
              <w:t>:</w:t>
            </w:r>
          </w:p>
          <w:p w14:paraId="4FAC39AD" w14:textId="333155D3" w:rsidR="00754110" w:rsidRPr="00754110" w:rsidRDefault="00754110" w:rsidP="00FE54CF">
            <w:pPr>
              <w:rPr>
                <w:rFonts w:cstheme="minorHAnsi"/>
                <w:color w:val="000000" w:themeColor="text1"/>
                <w:sz w:val="20"/>
                <w:szCs w:val="20"/>
              </w:rPr>
            </w:pPr>
            <w:r w:rsidRPr="00754110">
              <w:rPr>
                <w:rFonts w:cstheme="minorHAnsi"/>
                <w:color w:val="000000" w:themeColor="text1"/>
                <w:sz w:val="20"/>
                <w:szCs w:val="20"/>
              </w:rPr>
              <w:t>Functions and Role of money</w:t>
            </w:r>
          </w:p>
          <w:p w14:paraId="06B63F45" w14:textId="3F71768D" w:rsidR="00754110" w:rsidRPr="00754110" w:rsidRDefault="00754110" w:rsidP="00FE54CF">
            <w:pPr>
              <w:rPr>
                <w:rFonts w:cstheme="minorHAnsi"/>
                <w:color w:val="000000" w:themeColor="text1"/>
                <w:sz w:val="20"/>
                <w:szCs w:val="20"/>
              </w:rPr>
            </w:pPr>
            <w:r w:rsidRPr="00754110">
              <w:rPr>
                <w:rFonts w:cstheme="minorHAnsi"/>
                <w:color w:val="000000" w:themeColor="text1"/>
                <w:sz w:val="20"/>
                <w:szCs w:val="20"/>
              </w:rPr>
              <w:t>Different ways to pay</w:t>
            </w:r>
          </w:p>
          <w:p w14:paraId="7EDDDD67" w14:textId="456FBDDD" w:rsidR="00754110" w:rsidRDefault="00754110" w:rsidP="00FE54CF">
            <w:pPr>
              <w:rPr>
                <w:rFonts w:cstheme="minorHAnsi"/>
                <w:color w:val="000000" w:themeColor="text1"/>
                <w:sz w:val="20"/>
                <w:szCs w:val="20"/>
              </w:rPr>
            </w:pPr>
            <w:r w:rsidRPr="00754110">
              <w:rPr>
                <w:rFonts w:cstheme="minorHAnsi"/>
                <w:color w:val="000000" w:themeColor="text1"/>
                <w:sz w:val="20"/>
                <w:szCs w:val="20"/>
              </w:rPr>
              <w:t>Current Accounts</w:t>
            </w:r>
          </w:p>
          <w:p w14:paraId="6AD395A8" w14:textId="4014DE6B" w:rsidR="00754110" w:rsidRDefault="00754110" w:rsidP="00FE54CF">
            <w:pPr>
              <w:rPr>
                <w:rFonts w:cstheme="minorHAnsi"/>
                <w:color w:val="000000" w:themeColor="text1"/>
                <w:sz w:val="20"/>
                <w:szCs w:val="20"/>
              </w:rPr>
            </w:pPr>
            <w:r>
              <w:rPr>
                <w:rFonts w:cstheme="minorHAnsi"/>
                <w:color w:val="000000" w:themeColor="text1"/>
                <w:sz w:val="20"/>
                <w:szCs w:val="20"/>
              </w:rPr>
              <w:t>Personal Finance</w:t>
            </w:r>
          </w:p>
          <w:p w14:paraId="208F4C34" w14:textId="1294E78A" w:rsidR="00754110" w:rsidRDefault="00754110" w:rsidP="00FE54CF">
            <w:pPr>
              <w:rPr>
                <w:rFonts w:cstheme="minorHAnsi"/>
                <w:color w:val="000000" w:themeColor="text1"/>
                <w:sz w:val="20"/>
                <w:szCs w:val="20"/>
              </w:rPr>
            </w:pPr>
            <w:r>
              <w:rPr>
                <w:rFonts w:cstheme="minorHAnsi"/>
                <w:color w:val="000000" w:themeColor="text1"/>
                <w:sz w:val="20"/>
                <w:szCs w:val="20"/>
              </w:rPr>
              <w:t>Features of Financial Institutions</w:t>
            </w:r>
          </w:p>
          <w:p w14:paraId="7583493C" w14:textId="6CD73E23" w:rsidR="00754110" w:rsidRDefault="00754110" w:rsidP="00FE54CF">
            <w:pPr>
              <w:rPr>
                <w:rFonts w:cstheme="minorHAnsi"/>
                <w:color w:val="000000" w:themeColor="text1"/>
                <w:sz w:val="20"/>
                <w:szCs w:val="20"/>
              </w:rPr>
            </w:pPr>
            <w:r>
              <w:rPr>
                <w:rFonts w:cstheme="minorHAnsi"/>
                <w:color w:val="000000" w:themeColor="text1"/>
                <w:sz w:val="20"/>
                <w:szCs w:val="20"/>
              </w:rPr>
              <w:t>Communicating with customers</w:t>
            </w:r>
          </w:p>
          <w:p w14:paraId="1877A4C7" w14:textId="3AA2882D" w:rsidR="00754110" w:rsidRDefault="00754110" w:rsidP="00FE54CF">
            <w:pPr>
              <w:rPr>
                <w:rFonts w:cstheme="minorHAnsi"/>
                <w:color w:val="000000" w:themeColor="text1"/>
                <w:sz w:val="20"/>
                <w:szCs w:val="20"/>
              </w:rPr>
            </w:pPr>
            <w:r>
              <w:rPr>
                <w:rFonts w:cstheme="minorHAnsi"/>
                <w:color w:val="000000" w:themeColor="text1"/>
                <w:sz w:val="20"/>
                <w:szCs w:val="20"/>
              </w:rPr>
              <w:t>Consumer Protection in personal finance</w:t>
            </w:r>
          </w:p>
          <w:p w14:paraId="084F0C7B" w14:textId="07A45FC6" w:rsidR="00754110" w:rsidRDefault="00754110" w:rsidP="00FE54CF">
            <w:pPr>
              <w:rPr>
                <w:rFonts w:cstheme="minorHAnsi"/>
                <w:color w:val="000000" w:themeColor="text1"/>
                <w:sz w:val="20"/>
                <w:szCs w:val="20"/>
              </w:rPr>
            </w:pPr>
            <w:r>
              <w:rPr>
                <w:rFonts w:cstheme="minorHAnsi"/>
                <w:color w:val="000000" w:themeColor="text1"/>
                <w:sz w:val="20"/>
                <w:szCs w:val="20"/>
              </w:rPr>
              <w:t>Information guidance and advice</w:t>
            </w:r>
          </w:p>
          <w:p w14:paraId="47FAE9E6" w14:textId="36A49281" w:rsidR="00754110" w:rsidRDefault="00754110" w:rsidP="00FE54CF">
            <w:pPr>
              <w:rPr>
                <w:rFonts w:cstheme="minorHAnsi"/>
                <w:color w:val="000000" w:themeColor="text1"/>
                <w:sz w:val="20"/>
                <w:szCs w:val="20"/>
              </w:rPr>
            </w:pPr>
            <w:r>
              <w:rPr>
                <w:rFonts w:cstheme="minorHAnsi"/>
                <w:color w:val="000000" w:themeColor="text1"/>
                <w:sz w:val="20"/>
                <w:szCs w:val="20"/>
              </w:rPr>
              <w:t>Purpose of Accounting</w:t>
            </w:r>
          </w:p>
          <w:p w14:paraId="62954271" w14:textId="3490890F" w:rsidR="00754110" w:rsidRDefault="00754110" w:rsidP="00FE54CF">
            <w:pPr>
              <w:rPr>
                <w:rFonts w:cstheme="minorHAnsi"/>
                <w:color w:val="000000" w:themeColor="text1"/>
                <w:sz w:val="20"/>
                <w:szCs w:val="20"/>
              </w:rPr>
            </w:pPr>
            <w:r>
              <w:rPr>
                <w:rFonts w:cstheme="minorHAnsi"/>
                <w:color w:val="000000" w:themeColor="text1"/>
                <w:sz w:val="20"/>
                <w:szCs w:val="20"/>
              </w:rPr>
              <w:t>Types of Income</w:t>
            </w:r>
          </w:p>
          <w:p w14:paraId="27E6E4E2" w14:textId="27F1901C" w:rsidR="00754110" w:rsidRDefault="00754110" w:rsidP="00FE54CF">
            <w:pPr>
              <w:rPr>
                <w:rFonts w:cstheme="minorHAnsi"/>
                <w:color w:val="000000" w:themeColor="text1"/>
                <w:sz w:val="20"/>
                <w:szCs w:val="20"/>
              </w:rPr>
            </w:pPr>
            <w:r>
              <w:rPr>
                <w:rFonts w:cstheme="minorHAnsi"/>
                <w:color w:val="000000" w:themeColor="text1"/>
                <w:sz w:val="20"/>
                <w:szCs w:val="20"/>
              </w:rPr>
              <w:t>Types of Expenditure</w:t>
            </w:r>
          </w:p>
          <w:p w14:paraId="79323D36" w14:textId="1A955153" w:rsidR="00754110" w:rsidRDefault="00754110" w:rsidP="00FE54CF">
            <w:pPr>
              <w:rPr>
                <w:rFonts w:cstheme="minorHAnsi"/>
                <w:color w:val="000000" w:themeColor="text1"/>
                <w:sz w:val="20"/>
                <w:szCs w:val="20"/>
              </w:rPr>
            </w:pPr>
            <w:r>
              <w:rPr>
                <w:rFonts w:cstheme="minorHAnsi"/>
                <w:color w:val="000000" w:themeColor="text1"/>
                <w:sz w:val="20"/>
                <w:szCs w:val="20"/>
              </w:rPr>
              <w:t>Sources and Finance</w:t>
            </w:r>
          </w:p>
          <w:p w14:paraId="6D5D9B7E" w14:textId="1688381D" w:rsidR="00754110" w:rsidRDefault="00754110" w:rsidP="00FE54CF">
            <w:pPr>
              <w:rPr>
                <w:rFonts w:cstheme="minorHAnsi"/>
                <w:color w:val="000000" w:themeColor="text1"/>
                <w:sz w:val="20"/>
                <w:szCs w:val="20"/>
              </w:rPr>
            </w:pPr>
            <w:r>
              <w:rPr>
                <w:rFonts w:cstheme="minorHAnsi"/>
                <w:color w:val="000000" w:themeColor="text1"/>
                <w:sz w:val="20"/>
                <w:szCs w:val="20"/>
              </w:rPr>
              <w:t>Cash Flow Forecasts</w:t>
            </w:r>
          </w:p>
          <w:p w14:paraId="02DD7DDD" w14:textId="4B4B4957" w:rsidR="00754110" w:rsidRDefault="00754110" w:rsidP="00FE54CF">
            <w:pPr>
              <w:rPr>
                <w:rFonts w:cstheme="minorHAnsi"/>
                <w:color w:val="000000" w:themeColor="text1"/>
                <w:sz w:val="20"/>
                <w:szCs w:val="20"/>
              </w:rPr>
            </w:pPr>
            <w:r>
              <w:rPr>
                <w:rFonts w:cstheme="minorHAnsi"/>
                <w:color w:val="000000" w:themeColor="text1"/>
                <w:sz w:val="20"/>
                <w:szCs w:val="20"/>
              </w:rPr>
              <w:t>Break Even Analysis</w:t>
            </w:r>
          </w:p>
          <w:p w14:paraId="22497BEE" w14:textId="44FBED03" w:rsidR="00754110" w:rsidRDefault="00754110" w:rsidP="00FE54CF">
            <w:pPr>
              <w:rPr>
                <w:rFonts w:cstheme="minorHAnsi"/>
                <w:color w:val="000000" w:themeColor="text1"/>
                <w:sz w:val="20"/>
                <w:szCs w:val="20"/>
              </w:rPr>
            </w:pPr>
            <w:r>
              <w:rPr>
                <w:rFonts w:cstheme="minorHAnsi"/>
                <w:color w:val="000000" w:themeColor="text1"/>
                <w:sz w:val="20"/>
                <w:szCs w:val="20"/>
              </w:rPr>
              <w:t>Statement of Comprehensive Income</w:t>
            </w:r>
          </w:p>
          <w:p w14:paraId="56EDFDF0" w14:textId="5384205F" w:rsidR="00754110" w:rsidRDefault="00754110" w:rsidP="00FE54CF">
            <w:pPr>
              <w:rPr>
                <w:rFonts w:cstheme="minorHAnsi"/>
                <w:color w:val="000000" w:themeColor="text1"/>
                <w:sz w:val="20"/>
                <w:szCs w:val="20"/>
              </w:rPr>
            </w:pPr>
            <w:r>
              <w:rPr>
                <w:rFonts w:cstheme="minorHAnsi"/>
                <w:color w:val="000000" w:themeColor="text1"/>
                <w:sz w:val="20"/>
                <w:szCs w:val="20"/>
              </w:rPr>
              <w:t>Statement of Financial Position</w:t>
            </w:r>
          </w:p>
          <w:p w14:paraId="0EDAAE6A" w14:textId="04D05735" w:rsidR="00754110" w:rsidRDefault="00754110" w:rsidP="00FE54CF">
            <w:pPr>
              <w:rPr>
                <w:rFonts w:cstheme="minorHAnsi"/>
                <w:color w:val="000000" w:themeColor="text1"/>
                <w:sz w:val="20"/>
                <w:szCs w:val="20"/>
              </w:rPr>
            </w:pPr>
            <w:r>
              <w:rPr>
                <w:rFonts w:cstheme="minorHAnsi"/>
                <w:color w:val="000000" w:themeColor="text1"/>
                <w:sz w:val="20"/>
                <w:szCs w:val="20"/>
              </w:rPr>
              <w:t>Measuring Profitability</w:t>
            </w:r>
          </w:p>
          <w:p w14:paraId="47AE4101" w14:textId="686EFB30" w:rsidR="00754110" w:rsidRDefault="00754110" w:rsidP="00FE54CF">
            <w:pPr>
              <w:rPr>
                <w:rFonts w:cstheme="minorHAnsi"/>
                <w:color w:val="000000" w:themeColor="text1"/>
                <w:sz w:val="20"/>
                <w:szCs w:val="20"/>
              </w:rPr>
            </w:pPr>
            <w:r>
              <w:rPr>
                <w:rFonts w:cstheme="minorHAnsi"/>
                <w:color w:val="000000" w:themeColor="text1"/>
                <w:sz w:val="20"/>
                <w:szCs w:val="20"/>
              </w:rPr>
              <w:t>Measuring Liquidity</w:t>
            </w:r>
          </w:p>
          <w:p w14:paraId="04A74A51" w14:textId="2275DF9B" w:rsidR="00754110" w:rsidRDefault="00754110" w:rsidP="00FE54CF">
            <w:pPr>
              <w:rPr>
                <w:rFonts w:cstheme="minorHAnsi"/>
                <w:color w:val="000000" w:themeColor="text1"/>
                <w:sz w:val="20"/>
                <w:szCs w:val="20"/>
              </w:rPr>
            </w:pPr>
            <w:r>
              <w:rPr>
                <w:rFonts w:cstheme="minorHAnsi"/>
                <w:color w:val="000000" w:themeColor="text1"/>
                <w:sz w:val="20"/>
                <w:szCs w:val="20"/>
              </w:rPr>
              <w:t>Measuring Efficiency</w:t>
            </w:r>
          </w:p>
          <w:p w14:paraId="1F100205" w14:textId="6007ECAB" w:rsidR="00754110" w:rsidRPr="00754110" w:rsidRDefault="00754110" w:rsidP="00FE54CF">
            <w:pPr>
              <w:rPr>
                <w:rFonts w:cstheme="minorHAnsi"/>
                <w:color w:val="000000" w:themeColor="text1"/>
                <w:sz w:val="20"/>
                <w:szCs w:val="20"/>
              </w:rPr>
            </w:pPr>
            <w:r>
              <w:rPr>
                <w:rFonts w:cstheme="minorHAnsi"/>
                <w:color w:val="000000" w:themeColor="text1"/>
                <w:sz w:val="20"/>
                <w:szCs w:val="20"/>
              </w:rPr>
              <w:t>Limitations of Ratios</w:t>
            </w:r>
          </w:p>
          <w:p w14:paraId="49147324" w14:textId="2B0F3B48" w:rsidR="00754110" w:rsidRPr="0049302E" w:rsidRDefault="00754110" w:rsidP="00FE54CF">
            <w:pPr>
              <w:rPr>
                <w:rFonts w:cstheme="minorHAnsi"/>
                <w:color w:val="000000" w:themeColor="text1"/>
                <w:sz w:val="24"/>
                <w:szCs w:val="24"/>
              </w:rPr>
            </w:pPr>
            <w:bookmarkStart w:id="0" w:name="_GoBack"/>
            <w:bookmarkEnd w:id="0"/>
          </w:p>
        </w:tc>
      </w:tr>
      <w:tr w:rsidR="008E39B4" w:rsidRPr="0049302E" w14:paraId="70713B32" w14:textId="77777777" w:rsidTr="2D97F936">
        <w:trPr>
          <w:trHeight w:val="2557"/>
        </w:trPr>
        <w:tc>
          <w:tcPr>
            <w:tcW w:w="8070" w:type="dxa"/>
            <w:gridSpan w:val="2"/>
            <w:shd w:val="clear" w:color="auto" w:fill="FFEFFF"/>
          </w:tcPr>
          <w:p w14:paraId="47E3103E" w14:textId="77777777" w:rsidR="008E39B4" w:rsidRDefault="007019E7" w:rsidP="00675FE5">
            <w:pPr>
              <w:rPr>
                <w:b/>
                <w:bCs/>
                <w:color w:val="522A5B"/>
                <w:sz w:val="24"/>
                <w:szCs w:val="24"/>
                <w:u w:val="single"/>
              </w:rPr>
            </w:pPr>
            <w:r>
              <w:rPr>
                <w:b/>
                <w:bCs/>
                <w:color w:val="522A5B"/>
                <w:sz w:val="24"/>
                <w:szCs w:val="24"/>
                <w:u w:val="single"/>
              </w:rPr>
              <w:t>What will we learn</w:t>
            </w:r>
          </w:p>
          <w:p w14:paraId="35B5B171" w14:textId="77777777" w:rsidR="00675FE5" w:rsidRDefault="00675FE5" w:rsidP="00675FE5">
            <w:pPr>
              <w:spacing w:after="0"/>
              <w:rPr>
                <w:color w:val="000000" w:themeColor="text1"/>
                <w:sz w:val="24"/>
                <w:szCs w:val="24"/>
              </w:rPr>
            </w:pPr>
            <w:r>
              <w:rPr>
                <w:color w:val="000000" w:themeColor="text1"/>
                <w:sz w:val="24"/>
                <w:szCs w:val="24"/>
              </w:rPr>
              <w:t>There are six learning aims:</w:t>
            </w:r>
          </w:p>
          <w:p w14:paraId="16651152" w14:textId="77777777" w:rsidR="00675FE5" w:rsidRDefault="00675FE5" w:rsidP="00675FE5">
            <w:pPr>
              <w:spacing w:after="0"/>
            </w:pPr>
            <w:r w:rsidRPr="006A37F1">
              <w:t>Learning Aim A – Understand the importance of Managing Personal Finance</w:t>
            </w:r>
          </w:p>
          <w:p w14:paraId="3E564564" w14:textId="77777777" w:rsidR="00675FE5" w:rsidRPr="006A37F1" w:rsidRDefault="00675FE5" w:rsidP="00675FE5">
            <w:pPr>
              <w:spacing w:after="0"/>
            </w:pPr>
            <w:r w:rsidRPr="006A37F1">
              <w:t>Learning Aim B – Explore the Personal Finance Sector</w:t>
            </w:r>
          </w:p>
          <w:p w14:paraId="0EB0D590" w14:textId="77777777" w:rsidR="00675FE5" w:rsidRDefault="00675FE5" w:rsidP="00675FE5">
            <w:pPr>
              <w:spacing w:after="0"/>
            </w:pPr>
            <w:r w:rsidRPr="006A37F1">
              <w:t>Learning Aim C – Under</w:t>
            </w:r>
            <w:r>
              <w:t>stand the Purpose of Accounting</w:t>
            </w:r>
          </w:p>
          <w:p w14:paraId="30FDACB0" w14:textId="77777777" w:rsidR="00675FE5" w:rsidRPr="006A37F1" w:rsidRDefault="00675FE5" w:rsidP="00675FE5">
            <w:pPr>
              <w:spacing w:after="0"/>
            </w:pPr>
            <w:r w:rsidRPr="006A37F1">
              <w:t>Learning Aim D – Select and Evaluate Different Sources of Finance</w:t>
            </w:r>
          </w:p>
          <w:p w14:paraId="0ED69855" w14:textId="77777777" w:rsidR="00675FE5" w:rsidRPr="006A37F1" w:rsidRDefault="00675FE5" w:rsidP="00675FE5">
            <w:pPr>
              <w:spacing w:after="0"/>
            </w:pPr>
            <w:r w:rsidRPr="006A37F1">
              <w:t>Learning Aim E – Break-Even and Cash Flow Forecasts</w:t>
            </w:r>
          </w:p>
          <w:p w14:paraId="704CD9BE" w14:textId="599EB7CA" w:rsidR="00675FE5" w:rsidRPr="00675FE5" w:rsidRDefault="00675FE5" w:rsidP="00675FE5">
            <w:pPr>
              <w:rPr>
                <w:b/>
                <w:bCs/>
                <w:color w:val="522A5B"/>
                <w:sz w:val="24"/>
                <w:szCs w:val="24"/>
                <w:u w:val="single"/>
              </w:rPr>
            </w:pPr>
            <w:r w:rsidRPr="006A37F1">
              <w:t>Learning Aim F – Complete statements of comprehensive income and financial position and evaluate a business’s performance</w:t>
            </w:r>
          </w:p>
        </w:tc>
        <w:tc>
          <w:tcPr>
            <w:tcW w:w="2268" w:type="dxa"/>
            <w:vMerge/>
          </w:tcPr>
          <w:p w14:paraId="4F4A4CCD" w14:textId="77777777" w:rsidR="008E39B4" w:rsidRPr="0049302E" w:rsidRDefault="008E39B4" w:rsidP="00FE54CF">
            <w:pPr>
              <w:rPr>
                <w:rFonts w:cstheme="minorHAnsi"/>
                <w:b/>
                <w:bCs/>
                <w:sz w:val="24"/>
                <w:szCs w:val="24"/>
                <w:u w:val="single"/>
              </w:rPr>
            </w:pPr>
          </w:p>
        </w:tc>
      </w:tr>
      <w:tr w:rsidR="008E39B4" w:rsidRPr="0049302E" w14:paraId="41DD1A54" w14:textId="77777777" w:rsidTr="00675FE5">
        <w:trPr>
          <w:trHeight w:val="2116"/>
        </w:trPr>
        <w:tc>
          <w:tcPr>
            <w:tcW w:w="8070" w:type="dxa"/>
            <w:gridSpan w:val="2"/>
            <w:shd w:val="clear" w:color="auto" w:fill="FFEFFF"/>
          </w:tcPr>
          <w:p w14:paraId="42F8EE7E" w14:textId="77777777" w:rsidR="008E39B4" w:rsidRPr="0049302E" w:rsidRDefault="008E39B4" w:rsidP="00FE54CF">
            <w:pPr>
              <w:rPr>
                <w:rFonts w:cstheme="minorHAnsi"/>
                <w:b/>
                <w:bCs/>
                <w:color w:val="522A5B"/>
                <w:sz w:val="24"/>
                <w:szCs w:val="24"/>
                <w:u w:val="single"/>
              </w:rPr>
            </w:pPr>
            <w:r w:rsidRPr="0049302E">
              <w:rPr>
                <w:rFonts w:cstheme="minorHAnsi"/>
                <w:b/>
                <w:bCs/>
                <w:color w:val="522A5B"/>
                <w:sz w:val="24"/>
                <w:szCs w:val="24"/>
                <w:u w:val="single"/>
              </w:rPr>
              <w:t>What opportunities are there for wider study?</w:t>
            </w:r>
          </w:p>
          <w:p w14:paraId="001E2D6F" w14:textId="18C9A4CD" w:rsidR="008E39B4" w:rsidRPr="0049302E" w:rsidRDefault="00B0424D" w:rsidP="00FE54CF">
            <w:pPr>
              <w:rPr>
                <w:rFonts w:cstheme="minorHAnsi"/>
                <w:color w:val="000000" w:themeColor="text1"/>
                <w:sz w:val="24"/>
                <w:szCs w:val="24"/>
              </w:rPr>
            </w:pPr>
            <w:r w:rsidRPr="0049302E">
              <w:rPr>
                <w:rFonts w:cstheme="minorHAnsi"/>
                <w:color w:val="000000" w:themeColor="text1"/>
                <w:sz w:val="24"/>
                <w:szCs w:val="24"/>
              </w:rPr>
              <w:fldChar w:fldCharType="begin"/>
            </w:r>
            <w:r w:rsidRPr="0049302E">
              <w:rPr>
                <w:rFonts w:cstheme="minorHAnsi"/>
                <w:color w:val="000000" w:themeColor="text1"/>
                <w:sz w:val="24"/>
                <w:szCs w:val="24"/>
              </w:rPr>
              <w:instrText xml:space="preserve"> MERGEFIELD What_opportunities_are_there_for_wider_s </w:instrText>
            </w:r>
            <w:r w:rsidRPr="0049302E">
              <w:rPr>
                <w:rFonts w:cstheme="minorHAnsi"/>
                <w:color w:val="000000" w:themeColor="text1"/>
                <w:sz w:val="24"/>
                <w:szCs w:val="24"/>
              </w:rPr>
              <w:fldChar w:fldCharType="separate"/>
            </w:r>
            <w:r w:rsidR="0049302E" w:rsidRPr="0049302E">
              <w:rPr>
                <w:rFonts w:cstheme="minorHAnsi"/>
                <w:noProof/>
                <w:color w:val="000000" w:themeColor="text1"/>
                <w:sz w:val="24"/>
                <w:szCs w:val="24"/>
              </w:rPr>
              <w:t xml:space="preserve"> </w:t>
            </w:r>
            <w:r w:rsidRPr="0049302E">
              <w:rPr>
                <w:rFonts w:cstheme="minorHAnsi"/>
                <w:color w:val="000000" w:themeColor="text1"/>
                <w:sz w:val="24"/>
                <w:szCs w:val="24"/>
              </w:rPr>
              <w:fldChar w:fldCharType="end"/>
            </w:r>
            <w:r w:rsidR="00A30FCB">
              <w:rPr>
                <w:rFonts w:cstheme="minorHAnsi"/>
                <w:color w:val="000000" w:themeColor="text1"/>
                <w:sz w:val="24"/>
                <w:szCs w:val="24"/>
              </w:rPr>
              <w:t xml:space="preserve">Wider reading of the personal finance section of broadsheet newspapers and websites can help students increase their knowledge of the Personal Finance sections. Using websites and You Tube channels can help students understand the financial concepts and strategies in learning aims C-F. </w:t>
            </w:r>
          </w:p>
        </w:tc>
        <w:tc>
          <w:tcPr>
            <w:tcW w:w="2268" w:type="dxa"/>
            <w:vMerge/>
          </w:tcPr>
          <w:p w14:paraId="20C1B22D" w14:textId="77777777" w:rsidR="008E39B4" w:rsidRPr="0049302E" w:rsidRDefault="008E39B4" w:rsidP="00FE54CF">
            <w:pPr>
              <w:rPr>
                <w:rFonts w:cstheme="minorHAnsi"/>
                <w:b/>
                <w:bCs/>
                <w:sz w:val="24"/>
                <w:szCs w:val="24"/>
                <w:u w:val="single"/>
              </w:rPr>
            </w:pPr>
          </w:p>
        </w:tc>
      </w:tr>
      <w:tr w:rsidR="008E39B4" w:rsidRPr="0049302E" w14:paraId="08B85AF4" w14:textId="77777777" w:rsidTr="2D97F936">
        <w:trPr>
          <w:trHeight w:val="558"/>
        </w:trPr>
        <w:tc>
          <w:tcPr>
            <w:tcW w:w="8070" w:type="dxa"/>
            <w:gridSpan w:val="2"/>
            <w:shd w:val="clear" w:color="auto" w:fill="FFEFFF"/>
          </w:tcPr>
          <w:p w14:paraId="06BF29B5" w14:textId="77777777" w:rsidR="009B0C21" w:rsidRPr="0049302E" w:rsidRDefault="009B0C21" w:rsidP="009B0C21">
            <w:pPr>
              <w:rPr>
                <w:rFonts w:cstheme="minorHAnsi"/>
                <w:b/>
                <w:bCs/>
                <w:color w:val="461E64"/>
                <w:sz w:val="24"/>
                <w:szCs w:val="24"/>
                <w:u w:val="single"/>
              </w:rPr>
            </w:pPr>
            <w:r w:rsidRPr="0049302E">
              <w:rPr>
                <w:rFonts w:cstheme="minorHAnsi"/>
                <w:b/>
                <w:bCs/>
                <w:color w:val="461E64"/>
                <w:sz w:val="24"/>
                <w:szCs w:val="24"/>
                <w:u w:val="single"/>
              </w:rPr>
              <w:t>How will I be assessed?</w:t>
            </w:r>
          </w:p>
          <w:p w14:paraId="7C953E82" w14:textId="05540A7B" w:rsidR="00811F13" w:rsidRPr="0049302E" w:rsidRDefault="00A30FCB" w:rsidP="00FE54CF">
            <w:pPr>
              <w:rPr>
                <w:rFonts w:cstheme="minorHAnsi"/>
                <w:noProof/>
                <w:color w:val="000000" w:themeColor="text1"/>
                <w:sz w:val="24"/>
                <w:szCs w:val="24"/>
              </w:rPr>
            </w:pPr>
            <w:r>
              <w:rPr>
                <w:rFonts w:cstheme="minorHAnsi"/>
                <w:noProof/>
                <w:color w:val="000000" w:themeColor="text1"/>
                <w:sz w:val="24"/>
                <w:szCs w:val="24"/>
              </w:rPr>
              <w:t>End of topic tests for each lea</w:t>
            </w:r>
            <w:r w:rsidR="00754110">
              <w:rPr>
                <w:rFonts w:cstheme="minorHAnsi"/>
                <w:noProof/>
                <w:color w:val="000000" w:themeColor="text1"/>
                <w:sz w:val="24"/>
                <w:szCs w:val="24"/>
              </w:rPr>
              <w:t>rning aim and a formal exam at the end of year 12</w:t>
            </w:r>
          </w:p>
        </w:tc>
        <w:tc>
          <w:tcPr>
            <w:tcW w:w="2268" w:type="dxa"/>
            <w:vMerge/>
          </w:tcPr>
          <w:p w14:paraId="048BF811" w14:textId="77777777" w:rsidR="008E39B4" w:rsidRPr="0049302E" w:rsidRDefault="008E39B4" w:rsidP="00FE54CF">
            <w:pPr>
              <w:rPr>
                <w:rFonts w:cstheme="minorHAnsi"/>
                <w:b/>
                <w:bCs/>
                <w:sz w:val="24"/>
                <w:szCs w:val="24"/>
                <w:u w:val="single"/>
              </w:rPr>
            </w:pPr>
          </w:p>
        </w:tc>
      </w:tr>
    </w:tbl>
    <w:p w14:paraId="42B3A29B" w14:textId="49864984" w:rsidR="0053445E" w:rsidRDefault="00754110" w:rsidP="008E39B4"/>
    <w:sectPr w:rsidR="0053445E"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6D344" w14:textId="77777777" w:rsidR="002B0167" w:rsidRDefault="002B0167" w:rsidP="00017B74">
      <w:pPr>
        <w:spacing w:after="0" w:line="240" w:lineRule="auto"/>
      </w:pPr>
      <w:r>
        <w:separator/>
      </w:r>
    </w:p>
  </w:endnote>
  <w:endnote w:type="continuationSeparator" w:id="0">
    <w:p w14:paraId="4BC76145" w14:textId="77777777" w:rsidR="002B0167" w:rsidRDefault="002B0167"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705B2" w14:textId="77777777" w:rsidR="002B0167" w:rsidRDefault="002B0167" w:rsidP="00017B74">
      <w:pPr>
        <w:spacing w:after="0" w:line="240" w:lineRule="auto"/>
      </w:pPr>
      <w:r>
        <w:separator/>
      </w:r>
    </w:p>
  </w:footnote>
  <w:footnote w:type="continuationSeparator" w:id="0">
    <w:p w14:paraId="0BE4F599" w14:textId="77777777" w:rsidR="002B0167" w:rsidRDefault="002B0167"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B4"/>
    <w:rsid w:val="00017B74"/>
    <w:rsid w:val="00064B72"/>
    <w:rsid w:val="0007415F"/>
    <w:rsid w:val="002B0167"/>
    <w:rsid w:val="0034119B"/>
    <w:rsid w:val="003E6B6F"/>
    <w:rsid w:val="00440E6C"/>
    <w:rsid w:val="00477E85"/>
    <w:rsid w:val="00487E07"/>
    <w:rsid w:val="0049302E"/>
    <w:rsid w:val="00585FE2"/>
    <w:rsid w:val="005F4E99"/>
    <w:rsid w:val="00675FE5"/>
    <w:rsid w:val="006A37F1"/>
    <w:rsid w:val="007019E7"/>
    <w:rsid w:val="007146EF"/>
    <w:rsid w:val="00754110"/>
    <w:rsid w:val="00811F13"/>
    <w:rsid w:val="0083335D"/>
    <w:rsid w:val="00847F4E"/>
    <w:rsid w:val="00867D25"/>
    <w:rsid w:val="008B1952"/>
    <w:rsid w:val="008E39B4"/>
    <w:rsid w:val="009B0C21"/>
    <w:rsid w:val="00A23F48"/>
    <w:rsid w:val="00A30FCB"/>
    <w:rsid w:val="00A314F1"/>
    <w:rsid w:val="00B0424D"/>
    <w:rsid w:val="00B12F16"/>
    <w:rsid w:val="00BA646E"/>
    <w:rsid w:val="00CA59AB"/>
    <w:rsid w:val="00DB0006"/>
    <w:rsid w:val="00DC23A5"/>
    <w:rsid w:val="00E5371A"/>
    <w:rsid w:val="00F11AB8"/>
    <w:rsid w:val="00F43D58"/>
    <w:rsid w:val="00F9765D"/>
    <w:rsid w:val="00FB7D5A"/>
    <w:rsid w:val="00FE1C68"/>
    <w:rsid w:val="16D1C141"/>
    <w:rsid w:val="16F47458"/>
    <w:rsid w:val="1BC48B7C"/>
    <w:rsid w:val="2CEFB8F7"/>
    <w:rsid w:val="2D97F936"/>
    <w:rsid w:val="365C2C22"/>
    <w:rsid w:val="40456B09"/>
    <w:rsid w:val="48160DD3"/>
    <w:rsid w:val="4DC611CA"/>
    <w:rsid w:val="70A13B32"/>
    <w:rsid w:val="77A6E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CE217280FDA4F915D3F45A704C5C9" ma:contentTypeVersion="14" ma:contentTypeDescription="Create a new document." ma:contentTypeScope="" ma:versionID="76b4ffd767525774c64e5bfc22892fe0">
  <xsd:schema xmlns:xsd="http://www.w3.org/2001/XMLSchema" xmlns:xs="http://www.w3.org/2001/XMLSchema" xmlns:p="http://schemas.microsoft.com/office/2006/metadata/properties" xmlns:ns3="35818081-bca2-4bd4-854d-6ba26da810c3" xmlns:ns4="3e044cb3-0846-4a39-8369-da1e000195f9" targetNamespace="http://schemas.microsoft.com/office/2006/metadata/properties" ma:root="true" ma:fieldsID="cb5681a617fa6bab85727ba5d07cf10a" ns3:_="" ns4:_="">
    <xsd:import namespace="35818081-bca2-4bd4-854d-6ba26da810c3"/>
    <xsd:import namespace="3e044cb3-0846-4a39-8369-da1e000195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18081-bca2-4bd4-854d-6ba26da81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044cb3-0846-4a39-8369-da1e000195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87ED3C-5CF2-4436-AE0B-0AB2D2B65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18081-bca2-4bd4-854d-6ba26da810c3"/>
    <ds:schemaRef ds:uri="3e044cb3-0846-4a39-8369-da1e00019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20A1B58-0C5F-48DD-B214-25554F7C58E7}">
  <ds:schemaRefs>
    <ds:schemaRef ds:uri="http://purl.org/dc/terms/"/>
    <ds:schemaRef ds:uri="http://purl.org/dc/dcmitype/"/>
    <ds:schemaRef ds:uri="3e044cb3-0846-4a39-8369-da1e000195f9"/>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35818081-bca2-4bd4-854d-6ba26da810c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KTyler</cp:lastModifiedBy>
  <cp:revision>3</cp:revision>
  <dcterms:created xsi:type="dcterms:W3CDTF">2022-06-06T09:13:00Z</dcterms:created>
  <dcterms:modified xsi:type="dcterms:W3CDTF">2022-06-06T11:02:00Z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0x0101004B3CE217280FDA4F915D3F45A704C5C9</vt:lpwstr>
  </property>
</Properties>
</file>